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5613BE" w:rsidRDefault="005613BE" w:rsidP="005613BE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26.07.2024  № </w:t>
            </w:r>
            <w:bookmarkStart w:id="2" w:name="NUM"/>
            <w:bookmarkEnd w:id="2"/>
            <w:r>
              <w:rPr>
                <w:color w:val="7030A0"/>
                <w:sz w:val="24"/>
                <w:szCs w:val="24"/>
              </w:rPr>
              <w:t>72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F2B8C" w:rsidRDefault="006F2B8C" w:rsidP="006F2B8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F2B8C" w:rsidRDefault="006F2B8C" w:rsidP="006F2B8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F2B8C" w:rsidRDefault="006F2B8C" w:rsidP="006F2B8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F2B8C" w:rsidRPr="008938FD" w:rsidRDefault="006F2B8C" w:rsidP="006F2B8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6F2B8C" w:rsidRPr="00514D06" w:rsidRDefault="006F2B8C" w:rsidP="006F2B8C">
      <w:pPr>
        <w:rPr>
          <w:sz w:val="24"/>
          <w:szCs w:val="24"/>
        </w:rPr>
      </w:pPr>
    </w:p>
    <w:p w:rsidR="006F2B8C" w:rsidRPr="00514D06" w:rsidRDefault="006F2B8C" w:rsidP="006F2B8C">
      <w:pPr>
        <w:rPr>
          <w:sz w:val="24"/>
          <w:szCs w:val="24"/>
        </w:rPr>
      </w:pPr>
    </w:p>
    <w:p w:rsidR="006F2B8C" w:rsidRPr="00A441F3" w:rsidRDefault="006F2B8C" w:rsidP="006F2B8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исполняющей обязанности </w:t>
      </w:r>
      <w:r w:rsidRPr="007B62E1">
        <w:rPr>
          <w:sz w:val="28"/>
          <w:szCs w:val="28"/>
        </w:rPr>
        <w:t xml:space="preserve">начальника Главного управления ветеринарии Смоленской области от </w:t>
      </w:r>
      <w:r>
        <w:rPr>
          <w:sz w:val="28"/>
          <w:szCs w:val="28"/>
        </w:rPr>
        <w:t>23</w:t>
      </w:r>
      <w:r w:rsidRPr="00A441F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A441F3">
        <w:rPr>
          <w:color w:val="000000"/>
          <w:sz w:val="28"/>
          <w:szCs w:val="28"/>
        </w:rPr>
        <w:t>.2024 № 02-10/</w:t>
      </w:r>
      <w:r>
        <w:rPr>
          <w:color w:val="000000"/>
          <w:sz w:val="28"/>
          <w:szCs w:val="28"/>
        </w:rPr>
        <w:t>12888</w:t>
      </w:r>
    </w:p>
    <w:p w:rsidR="006F2B8C" w:rsidRPr="009A4EE6" w:rsidRDefault="006F2B8C" w:rsidP="006F2B8C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6F2B8C" w:rsidRPr="000D091C" w:rsidRDefault="006F2B8C" w:rsidP="006F2B8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6F2B8C" w:rsidRPr="00862CA7" w:rsidRDefault="006F2B8C" w:rsidP="006F2B8C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6F2B8C" w:rsidRDefault="006F2B8C" w:rsidP="006F2B8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6F2B8C" w:rsidRPr="009D0DD9" w:rsidRDefault="006F2B8C" w:rsidP="006F2B8C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 w:rsidRPr="002240E0">
        <w:rPr>
          <w:sz w:val="28"/>
          <w:szCs w:val="28"/>
        </w:rPr>
        <w:t>дома № 2 деревни Самолюбовки Починковского района</w:t>
      </w:r>
      <w:r>
        <w:rPr>
          <w:sz w:val="28"/>
          <w:szCs w:val="28"/>
        </w:rPr>
        <w:t>;</w:t>
      </w:r>
    </w:p>
    <w:p w:rsidR="006F2B8C" w:rsidRDefault="006F2B8C" w:rsidP="006F2B8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деревню Самолюбовку Починковского района.</w:t>
      </w:r>
    </w:p>
    <w:p w:rsidR="006F2B8C" w:rsidRDefault="006F2B8C" w:rsidP="006F2B8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6F2B8C" w:rsidRDefault="006F2B8C" w:rsidP="006F2B8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F2B8C" w:rsidRPr="009D0DD9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6F2B8C" w:rsidRPr="009D0DD9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6F2B8C" w:rsidRPr="009D0DD9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6F2B8C" w:rsidRPr="009D0DD9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6F2B8C" w:rsidRPr="009D0DD9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6F2B8C" w:rsidRPr="009D0DD9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6F2B8C" w:rsidRPr="009D0DD9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6F2B8C" w:rsidRPr="009D0DD9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6F2B8C" w:rsidRPr="009D0DD9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6F2B8C" w:rsidRDefault="006F2B8C" w:rsidP="006F2B8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6F2B8C" w:rsidRDefault="006F2B8C" w:rsidP="006F2B8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F2B8C" w:rsidRPr="009D0DD9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6F2B8C" w:rsidRPr="00734455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6F2B8C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6F2B8C" w:rsidRPr="009D0DD9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6F2B8C" w:rsidRPr="009D0DD9" w:rsidRDefault="006F2B8C" w:rsidP="006F2B8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6F2B8C" w:rsidRDefault="006F2B8C" w:rsidP="006F2B8C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6F2B8C" w:rsidRDefault="006F2B8C" w:rsidP="006F2B8C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6F2B8C" w:rsidRDefault="006F2B8C" w:rsidP="006F2B8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F2B8C" w:rsidRDefault="006F2B8C" w:rsidP="006F2B8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F2B8C" w:rsidRDefault="006F2B8C" w:rsidP="006F2B8C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6F2B8C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10C" w:rsidRDefault="0071110C">
      <w:r>
        <w:separator/>
      </w:r>
    </w:p>
  </w:endnote>
  <w:endnote w:type="continuationSeparator" w:id="0">
    <w:p w:rsidR="0071110C" w:rsidRDefault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10C" w:rsidRDefault="0071110C">
      <w:r>
        <w:separator/>
      </w:r>
    </w:p>
  </w:footnote>
  <w:footnote w:type="continuationSeparator" w:id="0">
    <w:p w:rsidR="0071110C" w:rsidRDefault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174910"/>
      <w:docPartObj>
        <w:docPartGallery w:val="Page Numbers (Top of Page)"/>
        <w:docPartUnique/>
      </w:docPartObj>
    </w:sdtPr>
    <w:sdtEndPr/>
    <w:sdtContent>
      <w:p w:rsidR="006F2B8C" w:rsidRDefault="006F2B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3BE">
          <w:rPr>
            <w:noProof/>
          </w:rPr>
          <w:t>2</w:t>
        </w:r>
        <w:r>
          <w:fldChar w:fldCharType="end"/>
        </w:r>
      </w:p>
    </w:sdtContent>
  </w:sdt>
  <w:p w:rsidR="006F2B8C" w:rsidRDefault="006F2B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12F18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13BE"/>
    <w:rsid w:val="00567B74"/>
    <w:rsid w:val="005F2AFA"/>
    <w:rsid w:val="00614B8A"/>
    <w:rsid w:val="0067695B"/>
    <w:rsid w:val="006E181B"/>
    <w:rsid w:val="006F2B8C"/>
    <w:rsid w:val="0071110C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2D9E"/>
    <w:rsid w:val="00A057EB"/>
    <w:rsid w:val="00A16598"/>
    <w:rsid w:val="00A718D7"/>
    <w:rsid w:val="00AE7AB9"/>
    <w:rsid w:val="00B22D79"/>
    <w:rsid w:val="00B359B5"/>
    <w:rsid w:val="00B63EB7"/>
    <w:rsid w:val="00BB4010"/>
    <w:rsid w:val="00C3288A"/>
    <w:rsid w:val="00C7093E"/>
    <w:rsid w:val="00C71861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4B14B5-3AC3-4CF7-A736-3B574003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2024-07-26T14:17:00Z</dcterms:created>
  <dcterms:modified xsi:type="dcterms:W3CDTF">2024-07-26T14:17:00Z</dcterms:modified>
</cp:coreProperties>
</file>